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1C" w:rsidRPr="0030531C" w:rsidRDefault="0030531C" w:rsidP="0030531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30531C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Дело А40-48645/2009</w:t>
      </w:r>
    </w:p>
    <w:p w:rsidR="0030531C" w:rsidRPr="0030531C" w:rsidRDefault="0030531C" w:rsidP="0030531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5"/>
          <w:szCs w:val="15"/>
          <w:lang w:eastAsia="ru-RU"/>
        </w:rPr>
      </w:pPr>
      <w:r w:rsidRPr="0030531C">
        <w:rPr>
          <w:rFonts w:ascii="Arial" w:eastAsia="Times New Roman" w:hAnsi="Arial" w:cs="Arial"/>
          <w:color w:val="3C3C3C"/>
          <w:spacing w:val="1"/>
          <w:sz w:val="15"/>
          <w:szCs w:val="15"/>
          <w:lang w:eastAsia="ru-RU"/>
        </w:rPr>
        <w:t> </w:t>
      </w:r>
      <w:r w:rsidRPr="0030531C">
        <w:rPr>
          <w:rFonts w:ascii="Arial" w:eastAsia="Times New Roman" w:hAnsi="Arial" w:cs="Arial"/>
          <w:color w:val="3C3C3C"/>
          <w:spacing w:val="1"/>
          <w:sz w:val="15"/>
          <w:szCs w:val="15"/>
          <w:lang w:eastAsia="ru-RU"/>
        </w:rPr>
        <w:br/>
        <w:t>ФЕДЕРАЛЬНЫЙ АРБИТРАЖНЫЙ СУД МОСКОВСКОГО ОКРУГА</w:t>
      </w:r>
      <w:r w:rsidRPr="0030531C">
        <w:rPr>
          <w:rFonts w:ascii="Arial" w:eastAsia="Times New Roman" w:hAnsi="Arial" w:cs="Arial"/>
          <w:color w:val="3C3C3C"/>
          <w:spacing w:val="1"/>
          <w:sz w:val="15"/>
          <w:lang w:eastAsia="ru-RU"/>
        </w:rPr>
        <w:t> </w:t>
      </w:r>
      <w:r w:rsidRPr="0030531C">
        <w:rPr>
          <w:rFonts w:ascii="Arial" w:eastAsia="Times New Roman" w:hAnsi="Arial" w:cs="Arial"/>
          <w:color w:val="3C3C3C"/>
          <w:spacing w:val="1"/>
          <w:sz w:val="15"/>
          <w:szCs w:val="15"/>
          <w:lang w:eastAsia="ru-RU"/>
        </w:rPr>
        <w:br/>
        <w:t> </w:t>
      </w:r>
    </w:p>
    <w:p w:rsidR="0030531C" w:rsidRPr="0030531C" w:rsidRDefault="0030531C" w:rsidP="0030531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5"/>
          <w:szCs w:val="15"/>
          <w:lang w:eastAsia="ru-RU"/>
        </w:rPr>
      </w:pPr>
      <w:r w:rsidRPr="0030531C">
        <w:rPr>
          <w:rFonts w:ascii="Arial" w:eastAsia="Times New Roman" w:hAnsi="Arial" w:cs="Arial"/>
          <w:color w:val="3C3C3C"/>
          <w:spacing w:val="1"/>
          <w:sz w:val="15"/>
          <w:szCs w:val="15"/>
          <w:lang w:eastAsia="ru-RU"/>
        </w:rPr>
        <w:t>ПОСТАНОВЛЕНИЕ</w:t>
      </w:r>
      <w:r w:rsidRPr="0030531C">
        <w:rPr>
          <w:rFonts w:ascii="Arial" w:eastAsia="Times New Roman" w:hAnsi="Arial" w:cs="Arial"/>
          <w:color w:val="3C3C3C"/>
          <w:spacing w:val="1"/>
          <w:sz w:val="15"/>
          <w:lang w:eastAsia="ru-RU"/>
        </w:rPr>
        <w:t> </w:t>
      </w:r>
    </w:p>
    <w:p w:rsidR="0030531C" w:rsidRPr="0030531C" w:rsidRDefault="0030531C" w:rsidP="0030531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5"/>
          <w:szCs w:val="15"/>
          <w:lang w:eastAsia="ru-RU"/>
        </w:rPr>
      </w:pPr>
      <w:r w:rsidRPr="0030531C">
        <w:rPr>
          <w:rFonts w:ascii="Arial" w:eastAsia="Times New Roman" w:hAnsi="Arial" w:cs="Arial"/>
          <w:color w:val="3C3C3C"/>
          <w:spacing w:val="1"/>
          <w:sz w:val="15"/>
          <w:szCs w:val="15"/>
          <w:lang w:eastAsia="ru-RU"/>
        </w:rPr>
        <w:t>от 04 февраля 2010 года  Дело N А40-48645/2009</w:t>
      </w:r>
      <w:r w:rsidRPr="0030531C">
        <w:rPr>
          <w:rFonts w:ascii="Arial" w:eastAsia="Times New Roman" w:hAnsi="Arial" w:cs="Arial"/>
          <w:color w:val="3C3C3C"/>
          <w:spacing w:val="1"/>
          <w:sz w:val="15"/>
          <w:lang w:eastAsia="ru-RU"/>
        </w:rPr>
        <w:t> 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Федеральный арбитражный суд Московского округа в составе: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председательствующего-судьи Петровой Е.А.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судей Тарасовой Н.В., Чучуновой Н.С.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при участии в заседании: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от истца -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Кара Ю.И. по дов. № 24 от 15.12.2009 г.;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от ответчика - Кузнецов С.С. по дов. № 65-Д от 15.05.2009 г;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от третьих лиц: от ООО «ТрансФин-М» -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Дубовский В.А. по дов. № 175 от 03.07.2009 г., Каверин А.А. по дов. № 003 от 03.02.2010 г.; от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ООО «РВ Транс» - не явился, извещен;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рассмотрев 4 февраля 2010 года в судебном заседании кассационную жалобу Совместного предприятия ООО IM «INTERTRANSCORD» SRL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на решение от 12 августа 2009 года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Арбитражного суда города Москвы,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принятое судьёй Дунаевой Н.Ю.,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постановление от 16 октября 2009 года № 09АП-19070/2009-ГК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Девятого арбитражного апелляционного суда,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принятое судьями Савенковым О.В., Левиной Т.Ю., Красновой С.В.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по иску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Совместного предприятия ООО IM «INTERTRANSCORD» SRL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о взыскании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10683314, 18 рублей задолженности по субарендным платежам и пени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500000 рублей расходов на оплату услуг представителя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ООО «Мечел-Транс»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3-и лица: ООО «ТрансФин-М», ООО «РВ- Транс»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УСТАНОВИЛ: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СП ООО IM «INTERTRANSCORD» SRL обратилось в Арбитражный суд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г. Москвы к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ООО «Мечел-Транс» с иском о взыскании с ответчика 10683314 руб. 18 коп. задолженности, составляющей 10442125 руб. основного долга по оплате субарендных платежей и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241189 руб. 18 коп. пени за просрочку оплаты субарендных платежей, а также 500000 рублей расходов на оплату услуг представителя.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Исковые требования заявлены со ссылкой на положения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4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ст. ст. 309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5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310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6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314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7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330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8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606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9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614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</w:t>
      </w:r>
      <w:hyperlink r:id="rId10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615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11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665 ГК РФ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12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ст. 8, 11Федерального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13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закона № 164-ФЗ от 29.10.1998 г. «О финансовой аренде (лизинге)»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и мотивированы тем, что в соответствии с заключенными между Совместным предприятием ООО IM «INTERTRANSCORD» SRL и ООО «РВ Транс» соглашениями № 1/09 и № 2/09 от 30.03.2009 г. об уступке права требования к истцу перешло право требования с ООО «Мечел-Транс» задолженности, образовавшейся в связи с ненадлежащим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исполнением обязательств перед ООО «РВ Транс» по договору субаренды от 01.11.2007 г. № Р-118/7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за период с 01.12.2008 г. по март 2009 г.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В качестве третьих лиц, не заявляющих самостоятельных требований относительно предмета спора, к участию в деле привлечены ООО «ТрансФин-М», ООО «РВ Транс».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Решением Арбитражного суда г. Москвы от 12 августа 2009 года по делу № А40-48645/09-60-312, оставленным без изменения постановлением Девятого арбитражного апелляционного суда от 16 октября 2009 года № 09АП-19070/2009-ГК по тому же делу, в удовлетворении исковых требований отказано.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Отказывая в удовлетворении исковых требований, суды обеих инстанций пришли к выводу о недействительности (ничтожности) в силу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14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ст. 168 ГК РФ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договора субаренды от 01.11.2007 г. № Р-118/7 как противоречащего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15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п.2 ст.615 ГК РФ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16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п. 2 ст.8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Федерального закона «О финансовой аренде (лизинге)», в соответствии с которыми передача лизингополучателем (арендатором) прав и обязанностей по договору лизинга допускается только с согласия лизингодателя, однако истец в нарушение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17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ч. 1 ст. 65 АПК РФ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не представил доказательств наличия письменного согласия ООО «ТрансФин-М» на передачу предмета лизинга в сублизинга.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В кассационной жалобе Совместное предприятие ООО IM «INTERTRANSCORD» SRL просит решение Арбитражного суда г. Москвы от 12 августа 2009 года и постановление Девятого арбитражного апелляционного суда от 16 октября 2009 года № 09АП-19070/2009-ГК по делу № А40-48645/09-60-312 отменить, поскольку считает, что суд обеих инстанций нарушил (неправильно применил) нормы материального права: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18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ст. ст. 12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19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166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-</w:t>
      </w:r>
      <w:hyperlink r:id="rId20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168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21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309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22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310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23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615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24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665 ГК РФ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 нарушил нормы процессуального права: ст. ст. 2, 7, 8, 65, 288 АПК РФ, так как, сделав вывод о недействительности договора субаренды, суд не применил по собственной инициативе правовые последствия недействительности сделки, в связи с чем заявитель просит направить дело на новое рассмотрение в Арбитражный суд города Москвы.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В отзыве на кассационную жалобу ООО «Мечел-Транс»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просит обжалуемые судебные акты оставить в силе, поскольку считает обоснованным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вывод судов обеих инстанции о недоказанности факта получения письменного согласия лизингодателя - ООО «ТрансФин-М» на передачу предмета лизинга в сублизинга.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В судебном заседании представитель заявителя поддержал доводы кассационной жалобы, указал на то, что имеет право требовать двусторонней реституции, так как является единственным участником ООО «РВ-Транс», представитель ответчика ООО «Мечел-Транс» и представители ООО «ТрансФин-М»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возражали против удовлетворения жалобы, считая, что принятые решение и постановление являются законными и обоснованными, а доводы кассационной жалобы – несостоятельными.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Изучив материалы дела, обсудив доводы кассационной жалобы и отзыва на неё, выслушав явившихся представителей лиц, участвующих в деле, проверив в порядке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25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ст. 286 АПК РФ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правильность применения арбитражным судом норм материального права и норм процессуального права, а также соответствие выводов суда фактическим обстоятельствам, установленным по делу, кассационная инстанция пришла к выводу о том, что решение и постановление не подлежат отмене по следующим основаниям.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Согласно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26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п. 2 ст. 615 ГК РФ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настоящим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27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Кодексом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 другим законом или иными правовыми актами.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Кроме того, в силу п. 2 ст.8 Федерального закона «О финансовой аренде (лизинге)» при передаче предмета лизинга в сублизинг обязательным является согласие лизингодателя в письменной форме.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Отказывая в удовлетворении исковых требований о взыскании сублизинговых платежей, суды обеих инстанций правильно применили указанные нормы материального права и исходили из того, что в отсутствие доказательств получения согласия лизингодателя (ООО «ТрансФин-М») на передачу предмета лизинга, переданного истцу по договор от 8.10.07 г.№086/07/РВТ, в сублизинг (перенаем), договор субаренды того же имущества от 1.11.07 г. №Р-118/7, заключенный между ООО «РВ-Транс» и ООО «Мечел-Транс», является в силу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28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ст.168 ГК РФ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недействительным (ничтожным).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При этом судами обоснованно отмечено, что договор лизинга от 8.10.07 г.№086/07/РВТ предусматривал определенную процедуру получения и оформления письменного согласия лизингодателя (п. 6.5), однако доказательств соблюдения такой процедуры представлено не было (</w:t>
      </w:r>
      <w:hyperlink r:id="rId29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ч. 1 ст.65 АПК РФ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).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С учётом установленного, оснований для иного вывода по существу спора у суда первой и апелляционной инстанций не имелось.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Довод кассационной жалобы о том, что признав договор субаренды недействительным (ничтожным), суд первой инстанции вышел за пределы исковых требований, отклоняется, поскольку вопрос о соответствии данного договора императивным требованиям законодательства, исходя из предмета исковых требований, входит в круг обстоятельств, подлежащих исследованию. Кроме того, заявитель не учитывает, что в отличие от недействительности оспоримых сделок, ничтожная сделка является недействительной независимо от признания ее таковой судом.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Отклоняя довод истца о неприменении судом последствий недействительности (ничтожности) договора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от 1.11.07 г. №Р-118/7, суды правильно указали на непредставление доказательств того, что истец, не являвшийся стороной основного договора лизинга от 8.10.07 г.№086/07/РВТ, не подтвердил наличие у него заинтересованности в применении последствий недействительности сделки, как того требует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30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ч. 1 ст.4 АПК РФ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31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п. 2 ст.166 ГК РФ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 при том, что по собственной инициативе суд вправе, но не обязан применить такие последствия.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Об обстоятельствах, на которые указал истец в заседании суда кассационной инстанции, в суде первой и апелляционной инстанции им не заявлялось,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в связи с чем доводы истца не могут быть признаны состоятельными с учетом положений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32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ч. 1 ст.49 АПК РФ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 предоставляющих истцу право изменения предмета или основания иска только до момента принятия судом первой инстанции решения по делу.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При таких обстоятельствах суд кассационной инстанции приходит к выводу о том, что обжалуемые судебные акты приняты на основании полного исследования фактических обстоятельств, имеющих значение для дела, и при правильном применении норм права, в связи с чем оснований для их отмены по доводам кассационной жалобы не имеется.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Переоценка выводов суда по фактическим обстоятельствам дела в силу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33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ст. 286 АПК РФ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недопустима при проверке судебных актов в кассационном порядке.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Руководствуясь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34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ст. ст. 284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hyperlink r:id="rId35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286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-</w:t>
      </w:r>
      <w:hyperlink r:id="rId36" w:history="1">
        <w:r w:rsidRPr="0030531C">
          <w:rPr>
            <w:rFonts w:ascii="Arial" w:eastAsia="Times New Roman" w:hAnsi="Arial" w:cs="Arial"/>
            <w:color w:val="00466E"/>
            <w:spacing w:val="1"/>
            <w:sz w:val="11"/>
            <w:u w:val="single"/>
            <w:lang w:eastAsia="ru-RU"/>
          </w:rPr>
          <w:t>289 Арбитражного процессуального кодекса Российской Федерации</w:t>
        </w:r>
      </w:hyperlink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, суд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ПОСТАНОВИЛ: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Решение Арбитражного суда города Москвы от 12 августа 2009 года и постановление Девятого арбитражного апелляционного суда от 16 октября 2009 года № 09АП-19070/2009-ГК по делу № А40-48645/09-60-312 оставить без изменения, а кассационную жалобу -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без удовлетворения.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Courier New" w:eastAsia="Times New Roman" w:hAnsi="Courier New" w:cs="Courier New"/>
          <w:color w:val="2D2D2D"/>
          <w:spacing w:val="1"/>
          <w:sz w:val="11"/>
          <w:szCs w:val="11"/>
          <w:lang w:eastAsia="ru-RU"/>
        </w:rPr>
        <w:t>     Председательствующий</w:t>
      </w:r>
      <w:r w:rsidRPr="0030531C">
        <w:rPr>
          <w:rFonts w:ascii="Courier New" w:eastAsia="Times New Roman" w:hAnsi="Courier New" w:cs="Courier New"/>
          <w:color w:val="2D2D2D"/>
          <w:spacing w:val="1"/>
          <w:sz w:val="11"/>
          <w:lang w:eastAsia="ru-RU"/>
        </w:rPr>
        <w:t> </w:t>
      </w:r>
      <w:r w:rsidRPr="0030531C">
        <w:rPr>
          <w:rFonts w:ascii="Courier New" w:eastAsia="Times New Roman" w:hAnsi="Courier New" w:cs="Courier New"/>
          <w:color w:val="2D2D2D"/>
          <w:spacing w:val="1"/>
          <w:sz w:val="11"/>
          <w:szCs w:val="11"/>
          <w:lang w:eastAsia="ru-RU"/>
        </w:rPr>
        <w:br/>
        <w:t>   Е.А. Петрова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Courier New" w:eastAsia="Times New Roman" w:hAnsi="Courier New" w:cs="Courier New"/>
          <w:color w:val="2D2D2D"/>
          <w:spacing w:val="1"/>
          <w:sz w:val="11"/>
          <w:szCs w:val="11"/>
          <w:lang w:eastAsia="ru-RU"/>
        </w:rPr>
        <w:lastRenderedPageBreak/>
        <w:t>     Судьи</w:t>
      </w:r>
      <w:r w:rsidRPr="0030531C">
        <w:rPr>
          <w:rFonts w:ascii="Courier New" w:eastAsia="Times New Roman" w:hAnsi="Courier New" w:cs="Courier New"/>
          <w:color w:val="2D2D2D"/>
          <w:spacing w:val="1"/>
          <w:sz w:val="11"/>
          <w:lang w:eastAsia="ru-RU"/>
        </w:rPr>
        <w:t> </w:t>
      </w:r>
      <w:r w:rsidRPr="0030531C">
        <w:rPr>
          <w:rFonts w:ascii="Courier New" w:eastAsia="Times New Roman" w:hAnsi="Courier New" w:cs="Courier New"/>
          <w:color w:val="2D2D2D"/>
          <w:spacing w:val="1"/>
          <w:sz w:val="11"/>
          <w:szCs w:val="11"/>
          <w:lang w:eastAsia="ru-RU"/>
        </w:rPr>
        <w:br/>
        <w:t>   Н.В. Тарасова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Courier New" w:eastAsia="Times New Roman" w:hAnsi="Courier New" w:cs="Courier New"/>
          <w:color w:val="2D2D2D"/>
          <w:spacing w:val="1"/>
          <w:sz w:val="11"/>
          <w:szCs w:val="11"/>
          <w:lang w:eastAsia="ru-RU"/>
        </w:rPr>
        <w:t>     Н.С. Чучунова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Электронный текст документа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подготовлен ЗАО "Кодекс" и сверен по:</w:t>
      </w:r>
      <w:r w:rsidRPr="0030531C">
        <w:rPr>
          <w:rFonts w:ascii="Arial" w:eastAsia="Times New Roman" w:hAnsi="Arial" w:cs="Arial"/>
          <w:color w:val="2D2D2D"/>
          <w:spacing w:val="1"/>
          <w:sz w:val="11"/>
          <w:lang w:eastAsia="ru-RU"/>
        </w:rPr>
        <w:t> </w:t>
      </w:r>
    </w:p>
    <w:p w:rsidR="0030531C" w:rsidRPr="0030531C" w:rsidRDefault="0030531C" w:rsidP="0030531C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</w:pPr>
      <w:r w:rsidRPr="0030531C">
        <w:rPr>
          <w:rFonts w:ascii="Arial" w:eastAsia="Times New Roman" w:hAnsi="Arial" w:cs="Arial"/>
          <w:color w:val="2D2D2D"/>
          <w:spacing w:val="1"/>
          <w:sz w:val="11"/>
          <w:szCs w:val="11"/>
          <w:lang w:eastAsia="ru-RU"/>
        </w:rPr>
        <w:t>файл-рассылка</w:t>
      </w:r>
    </w:p>
    <w:p w:rsidR="008A73ED" w:rsidRDefault="008A73ED"/>
    <w:sectPr w:rsidR="008A73ED" w:rsidSect="008A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characterSpacingControl w:val="doNotCompress"/>
  <w:compat/>
  <w:rsids>
    <w:rsidRoot w:val="0030531C"/>
    <w:rsid w:val="00027169"/>
    <w:rsid w:val="00074471"/>
    <w:rsid w:val="001C271D"/>
    <w:rsid w:val="002261DC"/>
    <w:rsid w:val="00255687"/>
    <w:rsid w:val="0030531C"/>
    <w:rsid w:val="003054C3"/>
    <w:rsid w:val="00306D6E"/>
    <w:rsid w:val="00310844"/>
    <w:rsid w:val="003842B9"/>
    <w:rsid w:val="004B6F8C"/>
    <w:rsid w:val="004F7C7A"/>
    <w:rsid w:val="0052341A"/>
    <w:rsid w:val="00574B05"/>
    <w:rsid w:val="00606F70"/>
    <w:rsid w:val="006C69F9"/>
    <w:rsid w:val="006D1D14"/>
    <w:rsid w:val="007A4A98"/>
    <w:rsid w:val="007C0039"/>
    <w:rsid w:val="007C5188"/>
    <w:rsid w:val="0081615A"/>
    <w:rsid w:val="00867CB2"/>
    <w:rsid w:val="008A73ED"/>
    <w:rsid w:val="00941065"/>
    <w:rsid w:val="009505B0"/>
    <w:rsid w:val="009640FF"/>
    <w:rsid w:val="009D1F1F"/>
    <w:rsid w:val="009E515A"/>
    <w:rsid w:val="009F1F45"/>
    <w:rsid w:val="00A45E25"/>
    <w:rsid w:val="00A5240C"/>
    <w:rsid w:val="00B44282"/>
    <w:rsid w:val="00BD115A"/>
    <w:rsid w:val="00C04718"/>
    <w:rsid w:val="00C35456"/>
    <w:rsid w:val="00C3606E"/>
    <w:rsid w:val="00CC2AA6"/>
    <w:rsid w:val="00D36C7E"/>
    <w:rsid w:val="00D56BA6"/>
    <w:rsid w:val="00E47004"/>
    <w:rsid w:val="00E928B3"/>
    <w:rsid w:val="00EA7F92"/>
    <w:rsid w:val="00EC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ED"/>
  </w:style>
  <w:style w:type="paragraph" w:styleId="Heading1">
    <w:name w:val="heading 1"/>
    <w:basedOn w:val="Normal"/>
    <w:link w:val="Heading1Char"/>
    <w:uiPriority w:val="9"/>
    <w:qFormat/>
    <w:rsid w:val="00305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Normal"/>
    <w:rsid w:val="0030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0531C"/>
  </w:style>
  <w:style w:type="paragraph" w:customStyle="1" w:styleId="formattext">
    <w:name w:val="formattext"/>
    <w:basedOn w:val="Normal"/>
    <w:rsid w:val="0030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0531C"/>
    <w:rPr>
      <w:color w:val="0000FF"/>
      <w:u w:val="single"/>
    </w:rPr>
  </w:style>
  <w:style w:type="paragraph" w:customStyle="1" w:styleId="unformattext">
    <w:name w:val="unformattext"/>
    <w:basedOn w:val="Normal"/>
    <w:rsid w:val="0030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703" TargetMode="External"/><Relationship Id="rId13" Type="http://schemas.openxmlformats.org/officeDocument/2006/relationships/hyperlink" Target="http://docs.cntd.ru/document/901719743" TargetMode="External"/><Relationship Id="rId18" Type="http://schemas.openxmlformats.org/officeDocument/2006/relationships/hyperlink" Target="http://docs.cntd.ru/document/9027690" TargetMode="External"/><Relationship Id="rId26" Type="http://schemas.openxmlformats.org/officeDocument/2006/relationships/hyperlink" Target="http://docs.cntd.ru/document/90277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7690" TargetMode="External"/><Relationship Id="rId34" Type="http://schemas.openxmlformats.org/officeDocument/2006/relationships/hyperlink" Target="http://docs.cntd.ru/document/901821334" TargetMode="Externa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1719743" TargetMode="External"/><Relationship Id="rId17" Type="http://schemas.openxmlformats.org/officeDocument/2006/relationships/hyperlink" Target="http://docs.cntd.ru/document/901821334" TargetMode="External"/><Relationship Id="rId25" Type="http://schemas.openxmlformats.org/officeDocument/2006/relationships/hyperlink" Target="http://docs.cntd.ru/document/901821334" TargetMode="External"/><Relationship Id="rId33" Type="http://schemas.openxmlformats.org/officeDocument/2006/relationships/hyperlink" Target="http://docs.cntd.ru/document/90182133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21334" TargetMode="External"/><Relationship Id="rId20" Type="http://schemas.openxmlformats.org/officeDocument/2006/relationships/hyperlink" Target="http://docs.cntd.ru/document/9027690" TargetMode="External"/><Relationship Id="rId29" Type="http://schemas.openxmlformats.org/officeDocument/2006/relationships/hyperlink" Target="http://docs.cntd.ru/document/90182133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703" TargetMode="External"/><Relationship Id="rId24" Type="http://schemas.openxmlformats.org/officeDocument/2006/relationships/hyperlink" Target="http://docs.cntd.ru/document/9027703" TargetMode="External"/><Relationship Id="rId32" Type="http://schemas.openxmlformats.org/officeDocument/2006/relationships/hyperlink" Target="http://docs.cntd.ru/document/90182133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http://docs.cntd.ru/document/9027703" TargetMode="External"/><Relationship Id="rId23" Type="http://schemas.openxmlformats.org/officeDocument/2006/relationships/hyperlink" Target="http://docs.cntd.ru/document/9027703" TargetMode="External"/><Relationship Id="rId28" Type="http://schemas.openxmlformats.org/officeDocument/2006/relationships/hyperlink" Target="http://docs.cntd.ru/document/9027690" TargetMode="External"/><Relationship Id="rId36" Type="http://schemas.openxmlformats.org/officeDocument/2006/relationships/hyperlink" Target="http://docs.cntd.ru/document/901821334" TargetMode="External"/><Relationship Id="rId10" Type="http://schemas.openxmlformats.org/officeDocument/2006/relationships/hyperlink" Target="http://docs.cntd.ru/document/9027703" TargetMode="External"/><Relationship Id="rId19" Type="http://schemas.openxmlformats.org/officeDocument/2006/relationships/hyperlink" Target="http://docs.cntd.ru/document/9027690" TargetMode="External"/><Relationship Id="rId31" Type="http://schemas.openxmlformats.org/officeDocument/2006/relationships/hyperlink" Target="http://docs.cntd.ru/document/9027690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27703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27703" TargetMode="External"/><Relationship Id="rId30" Type="http://schemas.openxmlformats.org/officeDocument/2006/relationships/hyperlink" Target="http://docs.cntd.ru/document/901821334" TargetMode="External"/><Relationship Id="rId35" Type="http://schemas.openxmlformats.org/officeDocument/2006/relationships/hyperlink" Target="http://docs.cntd.ru/document/90182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1648</Words>
  <Characters>9397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2015-10-17T20:27:00Z</dcterms:created>
  <dcterms:modified xsi:type="dcterms:W3CDTF">2015-10-17T20:27:00Z</dcterms:modified>
</cp:coreProperties>
</file>